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F3864" w:sz="12" w:space="8"/>
        </w:pBdr>
        <w:spacing w:after="60"/>
      </w:pPr>
      <w:r>
        <w:rPr>
          <w:b/>
          <w:bCs/>
          <w:color w:val="1F3864"/>
          <w:sz w:val="32"/>
          <w:szCs w:val="32"/>
        </w:rPr>
        <w:t xml:space="preserve">Accredited Investor Status (LandQuire) — Investment via LLC</w:t>
      </w:r>
    </w:p>
    <w:p>
      <w:pPr>
        <w:spacing w:after="120" w:line="276"/>
      </w:pPr>
      <w:r>
        <w:rPr>
          <w:sz w:val="22"/>
          <w:szCs w:val="22"/>
        </w:rPr>
        <w:t xml:space="preserve">Hello,</w:t>
      </w:r>
    </w:p>
    <w:p>
      <w:pPr>
        <w:spacing w:after="120" w:line="276"/>
      </w:pPr>
      <w:r>
        <w:rPr>
          <w:sz w:val="22"/>
          <w:szCs w:val="22"/>
        </w:rPr>
        <w:t xml:space="preserve">As agreed, please find below the list of documents required as part of our Know Your Customer (KYC) procedure, together with the information relating to the verification of your accredited investor status in connection with your investment (via an LLC).</w:t>
      </w:r>
    </w:p>
    <w:p>
      <w:pPr>
        <w:pStyle w:val="Heading1"/>
        <w:spacing w:after="120" w:before="260"/>
      </w:pPr>
      <w:r>
        <w:rPr>
          <w:b/>
          <w:bCs/>
          <w:color w:val="1F3864"/>
          <w:sz w:val="26"/>
          <w:szCs w:val="26"/>
        </w:rPr>
        <w:t xml:space="preserve">Verifying Accredited Investor Status</w:t>
      </w:r>
    </w:p>
    <w:p>
      <w:pPr>
        <w:spacing w:after="100"/>
      </w:pPr>
      <w:r>
        <w:rPr>
          <w:sz w:val="22"/>
          <w:szCs w:val="22"/>
        </w:rPr>
        <w:t xml:space="preserve">You must meet at least one of the following 3 criteria:</w:t>
      </w:r>
    </w:p>
    <w:p>
      <w:pPr>
        <w:spacing w:after="120" w:line="276"/>
      </w:pPr>
      <w:r>
        <w:rPr>
          <w:b/>
          <w:bCs/>
          <w:sz w:val="22"/>
          <w:szCs w:val="22"/>
        </w:rPr>
        <w:t xml:space="preserve">1. Income</w:t>
      </w:r>
    </w:p>
    <w:p>
      <w:pPr>
        <w:pStyle w:val="ListParagraph"/>
        <w:numPr>
          <w:ilvl w:val="0"/>
          <w:numId w:val="1"/>
        </w:numPr>
        <w:spacing w:after="60" w:line="276"/>
      </w:pPr>
      <w:r>
        <w:rPr>
          <w:sz w:val="22"/>
          <w:szCs w:val="22"/>
        </w:rPr>
        <w:t xml:space="preserve">Annual income above USD 200,000 (individually) in each of the last two years; or</w:t>
      </w:r>
    </w:p>
    <w:p>
      <w:pPr>
        <w:pStyle w:val="ListParagraph"/>
        <w:numPr>
          <w:ilvl w:val="0"/>
          <w:numId w:val="1"/>
        </w:numPr>
        <w:spacing w:after="60" w:line="276"/>
      </w:pPr>
      <w:r>
        <w:rPr>
          <w:sz w:val="22"/>
          <w:szCs w:val="22"/>
        </w:rPr>
        <w:t xml:space="preserve">Annual income above USD 300,000 for a couple.</w:t>
      </w:r>
    </w:p>
    <w:p>
      <w:pPr>
        <w:spacing w:after="60" w:before="60"/>
      </w:pPr>
      <w:r>
        <w:rPr>
          <w:b/>
          <w:bCs/>
          <w:color w:val="1F3864"/>
          <w:sz w:val="22"/>
          <w:szCs w:val="22"/>
        </w:rPr>
        <w:t xml:space="preserve">OR</w:t>
      </w:r>
    </w:p>
    <w:p>
      <w:pPr>
        <w:spacing w:after="120" w:line="276"/>
      </w:pPr>
      <w:r>
        <w:rPr>
          <w:b/>
          <w:bCs/>
          <w:sz w:val="22"/>
          <w:szCs w:val="22"/>
        </w:rPr>
        <w:t xml:space="preserve">2. Net Worth</w:t>
      </w:r>
    </w:p>
    <w:p>
      <w:pPr>
        <w:pStyle w:val="ListParagraph"/>
        <w:numPr>
          <w:ilvl w:val="0"/>
          <w:numId w:val="1"/>
        </w:numPr>
        <w:spacing w:after="60" w:line="276"/>
      </w:pPr>
      <w:r>
        <w:rPr>
          <w:sz w:val="22"/>
          <w:szCs w:val="22"/>
        </w:rPr>
        <w:t xml:space="preserve">Net worth above USD 1 million, excluding your primary residence.</w:t>
      </w:r>
    </w:p>
    <w:p>
      <w:pPr>
        <w:spacing w:after="60" w:line="276"/>
        <w:ind w:left="360"/>
      </w:pPr>
      <w:r>
        <w:rPr>
          <w:i w:val="false"/>
          <w:iCs w:val="false"/>
          <w:sz w:val="22"/>
          <w:szCs w:val="22"/>
        </w:rPr>
        <w:t xml:space="preserve">Definition of net worth</w:t>
      </w:r>
    </w:p>
    <w:p>
      <w:pPr>
        <w:spacing w:after="60"/>
        <w:ind w:left="360"/>
      </w:pPr>
      <w:r>
        <w:rPr>
          <w:i/>
          <w:iCs/>
          <w:sz w:val="22"/>
          <w:szCs w:val="22"/>
        </w:rPr>
        <w:t xml:space="preserve">Net worth = Total assets – Total liabilities</w:t>
      </w:r>
    </w:p>
    <w:p>
      <w:pPr>
        <w:spacing w:after="60" w:line="276"/>
        <w:ind w:left="360"/>
      </w:pPr>
      <w:r>
        <w:rPr>
          <w:i w:val="false"/>
          <w:iCs w:val="false"/>
          <w:sz w:val="22"/>
          <w:szCs w:val="22"/>
        </w:rPr>
        <w:t xml:space="preserve">Assets typically taken into account include:</w:t>
      </w:r>
    </w:p>
    <w:p>
      <w:pPr>
        <w:pStyle w:val="ListParagraph"/>
        <w:numPr>
          <w:ilvl w:val="0"/>
          <w:numId w:val="1"/>
        </w:numPr>
        <w:spacing w:after="40" w:line="276"/>
        <w:ind w:left="720"/>
      </w:pPr>
      <w:r>
        <w:rPr>
          <w:sz w:val="22"/>
          <w:szCs w:val="22"/>
        </w:rPr>
        <w:t xml:space="preserve">Cash and cash equivalents (bank accounts, savings accounts, foreign-currency accounts)</w:t>
      </w:r>
    </w:p>
    <w:p>
      <w:pPr>
        <w:pStyle w:val="ListParagraph"/>
        <w:numPr>
          <w:ilvl w:val="0"/>
          <w:numId w:val="1"/>
        </w:numPr>
        <w:spacing w:after="40" w:line="276"/>
        <w:ind w:left="720"/>
      </w:pPr>
      <w:r>
        <w:rPr>
          <w:sz w:val="22"/>
          <w:szCs w:val="22"/>
        </w:rPr>
        <w:t xml:space="preserve">Financial investments (stocks, bonds, ETFs, cryptocurrencies)</w:t>
      </w:r>
    </w:p>
    <w:p>
      <w:pPr>
        <w:pStyle w:val="ListParagraph"/>
        <w:numPr>
          <w:ilvl w:val="0"/>
          <w:numId w:val="1"/>
        </w:numPr>
        <w:spacing w:after="40" w:line="276"/>
        <w:ind w:left="720"/>
      </w:pPr>
      <w:r>
        <w:rPr>
          <w:sz w:val="22"/>
          <w:szCs w:val="22"/>
        </w:rPr>
        <w:t xml:space="preserve">Real estate assets (excluding primary residence: rental properties, land, second homes)</w:t>
      </w:r>
    </w:p>
    <w:p>
      <w:pPr>
        <w:pStyle w:val="ListParagraph"/>
        <w:numPr>
          <w:ilvl w:val="0"/>
          <w:numId w:val="1"/>
        </w:numPr>
        <w:spacing w:after="40" w:line="276"/>
        <w:ind w:left="720"/>
      </w:pPr>
      <w:r>
        <w:rPr>
          <w:sz w:val="22"/>
          <w:szCs w:val="22"/>
        </w:rPr>
        <w:t xml:space="preserve">Business interests (shares, ownership stakes, companies held)</w:t>
      </w:r>
    </w:p>
    <w:p>
      <w:pPr>
        <w:pStyle w:val="ListParagraph"/>
        <w:numPr>
          <w:ilvl w:val="0"/>
          <w:numId w:val="1"/>
        </w:numPr>
        <w:spacing w:after="40" w:line="276"/>
        <w:ind w:left="720"/>
      </w:pPr>
      <w:r>
        <w:rPr>
          <w:sz w:val="22"/>
          <w:szCs w:val="22"/>
        </w:rPr>
        <w:t xml:space="preserve">Other valuable assets (artwork, collectibles, luxury watches — subject to validation)</w:t>
      </w:r>
    </w:p>
    <w:p>
      <w:pPr>
        <w:spacing w:after="60" w:before="60"/>
      </w:pPr>
      <w:r>
        <w:rPr>
          <w:b/>
          <w:bCs/>
          <w:color w:val="1F3864"/>
          <w:sz w:val="22"/>
          <w:szCs w:val="22"/>
        </w:rPr>
        <w:t xml:space="preserve">OR</w:t>
      </w:r>
    </w:p>
    <w:p>
      <w:pPr>
        <w:spacing w:after="120" w:line="276"/>
      </w:pPr>
      <w:r>
        <w:rPr>
          <w:b/>
          <w:bCs/>
          <w:sz w:val="22"/>
          <w:szCs w:val="22"/>
        </w:rPr>
        <w:t xml:space="preserve">3. Professional License (United States)</w:t>
      </w:r>
    </w:p>
    <w:p>
      <w:pPr>
        <w:pStyle w:val="ListParagraph"/>
        <w:numPr>
          <w:ilvl w:val="0"/>
          <w:numId w:val="1"/>
        </w:numPr>
        <w:spacing w:after="60" w:line="276"/>
      </w:pPr>
      <w:r>
        <w:rPr>
          <w:sz w:val="22"/>
          <w:szCs w:val="22"/>
        </w:rPr>
        <w:t xml:space="preserve">Holding a professional license: Series 7, 65, or 82.</w:t>
      </w:r>
    </w:p>
    <w:p>
      <w:pPr>
        <w:pStyle w:val="Heading1"/>
        <w:spacing w:after="120" w:before="260"/>
      </w:pPr>
      <w:r>
        <w:rPr>
          <w:b/>
          <w:bCs/>
          <w:color w:val="1F3864"/>
          <w:sz w:val="26"/>
          <w:szCs w:val="26"/>
        </w:rPr>
        <w:t xml:space="preserve">KYC and Compliance Procedure</w:t>
      </w:r>
    </w:p>
    <w:p>
      <w:pPr>
        <w:spacing w:after="120" w:line="276"/>
      </w:pPr>
      <w:r>
        <w:rPr>
          <w:sz w:val="22"/>
          <w:szCs w:val="22"/>
        </w:rPr>
        <w:t xml:space="preserve">LandQuire is committed to upholding the highest standards of regulatory compliance and investor protection.</w:t>
      </w:r>
    </w:p>
    <w:p>
      <w:pPr>
        <w:spacing w:after="120" w:line="276"/>
      </w:pPr>
      <w:r>
        <w:rPr>
          <w:sz w:val="22"/>
          <w:szCs w:val="22"/>
        </w:rPr>
        <w:t xml:space="preserve">In connection with your investment, and in accordance with Regulation D, U.S. securities regulations, and applicable anti-money-laundering (AML) requirements, we kindly ask you to provide the following documents. All information provided will be used solely for compliance purposes and treated with the strictest confidentiality.</w:t>
      </w:r>
    </w:p>
    <w:p>
      <w:pPr>
        <w:pStyle w:val="Heading1"/>
        <w:spacing w:after="120" w:before="260"/>
      </w:pPr>
      <w:r>
        <w:rPr>
          <w:b/>
          <w:bCs/>
          <w:color w:val="1F3864"/>
          <w:sz w:val="26"/>
          <w:szCs w:val="26"/>
        </w:rPr>
        <w:t xml:space="preserve">Documents to Provide</w:t>
      </w:r>
    </w:p>
    <w:p>
      <w:pPr>
        <w:spacing w:after="120" w:line="276"/>
      </w:pPr>
      <w:r>
        <w:rPr>
          <w:sz w:val="22"/>
          <w:szCs w:val="22"/>
        </w:rPr>
        <w:t xml:space="preserve">Please provide one of the following (you must satisfy one of the 3 conditions below):</w:t>
      </w:r>
    </w:p>
    <w:p>
      <w:pPr>
        <w:spacing w:after="40" w:before="140"/>
      </w:pPr>
      <w:r>
        <w:rPr>
          <w:b/>
          <w:bCs/>
          <w:sz w:val="24"/>
          <w:szCs w:val="24"/>
        </w:rPr>
        <w:t xml:space="preserve">☐  </w:t>
      </w:r>
      <w:r>
        <w:rPr>
          <w:b/>
          <w:bCs/>
          <w:sz w:val="22"/>
          <w:szCs w:val="22"/>
        </w:rPr>
        <w:t xml:space="preserve">Condition 1 — Income-based verification</w:t>
      </w:r>
    </w:p>
    <w:p>
      <w:pPr>
        <w:spacing w:after="60" w:line="276"/>
        <w:ind w:left="360"/>
      </w:pPr>
      <w:r>
        <w:rPr>
          <w:i w:val="false"/>
          <w:iCs w:val="false"/>
          <w:sz w:val="22"/>
          <w:szCs w:val="22"/>
        </w:rPr>
        <w:t xml:space="preserve">Annual income above USD 200,000 (individually) or USD 300,000 (jointly with your spouse) in each of the last two years.</w:t>
      </w:r>
    </w:p>
    <w:p>
      <w:pPr>
        <w:spacing w:after="60" w:before="60"/>
      </w:pPr>
      <w:r>
        <w:rPr>
          <w:b/>
          <w:bCs/>
          <w:color w:val="1F3864"/>
          <w:sz w:val="22"/>
          <w:szCs w:val="22"/>
        </w:rPr>
        <w:t xml:space="preserve">OR</w:t>
      </w:r>
    </w:p>
    <w:p>
      <w:pPr>
        <w:spacing w:after="40" w:before="140"/>
      </w:pPr>
      <w:r>
        <w:rPr>
          <w:b/>
          <w:bCs/>
          <w:sz w:val="24"/>
          <w:szCs w:val="24"/>
        </w:rPr>
        <w:t xml:space="preserve">☐  </w:t>
      </w:r>
      <w:r>
        <w:rPr>
          <w:b/>
          <w:bCs/>
          <w:sz w:val="22"/>
          <w:szCs w:val="22"/>
        </w:rPr>
        <w:t xml:space="preserve">Condition 2 — Net-worth-based verification (minimum USD 1M)</w:t>
      </w:r>
    </w:p>
    <w:p>
      <w:pPr>
        <w:pStyle w:val="ListParagraph"/>
        <w:numPr>
          <w:ilvl w:val="0"/>
          <w:numId w:val="1"/>
        </w:numPr>
        <w:spacing w:after="40" w:line="276"/>
        <w:ind w:left="720"/>
      </w:pPr>
      <w:r>
        <w:rPr>
          <w:sz w:val="22"/>
          <w:szCs w:val="22"/>
        </w:rPr>
        <w:t xml:space="preserve">Bank statements and/or investment portfolio statements; and/or</w:t>
      </w:r>
    </w:p>
    <w:p>
      <w:pPr>
        <w:pStyle w:val="ListParagraph"/>
        <w:numPr>
          <w:ilvl w:val="0"/>
          <w:numId w:val="1"/>
        </w:numPr>
        <w:spacing w:after="40" w:line="276"/>
        <w:ind w:left="720"/>
      </w:pPr>
      <w:r>
        <w:rPr>
          <w:sz w:val="22"/>
          <w:szCs w:val="22"/>
        </w:rPr>
        <w:t xml:space="preserve">Confirmation of financial commitments.</w:t>
      </w:r>
    </w:p>
    <w:p>
      <w:pPr>
        <w:spacing w:after="60" w:line="276"/>
        <w:ind w:left="360"/>
      </w:pPr>
      <w:r>
        <w:rPr>
          <w:i/>
          <w:iCs/>
          <w:sz w:val="22"/>
          <w:szCs w:val="22"/>
        </w:rPr>
        <w:t xml:space="preserve">(Net worth may be assessed jointly with your spouse.)</w:t>
      </w:r>
    </w:p>
    <w:p>
      <w:pPr>
        <w:spacing w:after="60" w:before="60"/>
      </w:pPr>
      <w:r>
        <w:rPr>
          <w:b/>
          <w:bCs/>
          <w:color w:val="1F3864"/>
          <w:sz w:val="22"/>
          <w:szCs w:val="22"/>
        </w:rPr>
        <w:t xml:space="preserve">AND / OR</w:t>
      </w:r>
    </w:p>
    <w:p>
      <w:pPr>
        <w:spacing w:after="40" w:before="140"/>
      </w:pPr>
      <w:r>
        <w:rPr>
          <w:b/>
          <w:bCs/>
          <w:sz w:val="24"/>
          <w:szCs w:val="24"/>
        </w:rPr>
        <w:t xml:space="preserve">☐  </w:t>
      </w:r>
      <w:r>
        <w:rPr>
          <w:b/>
          <w:bCs/>
          <w:sz w:val="22"/>
          <w:szCs w:val="22"/>
        </w:rPr>
        <w:t xml:space="preserve">Verification letter from a qualified third party</w:t>
      </w:r>
    </w:p>
    <w:p>
      <w:pPr>
        <w:spacing w:after="60" w:line="276"/>
        <w:ind w:left="360"/>
      </w:pPr>
      <w:r>
        <w:rPr>
          <w:i w:val="false"/>
          <w:iCs w:val="false"/>
          <w:sz w:val="22"/>
          <w:szCs w:val="22"/>
        </w:rPr>
        <w:t xml:space="preserve">A letter issued by an attorney, a certified public accountant, or an investment adviser, dated within the last 90 days.</w:t>
      </w:r>
    </w:p>
    <w:p>
      <w:pPr>
        <w:spacing w:after="60" w:before="60"/>
      </w:pPr>
      <w:r>
        <w:rPr>
          <w:b/>
          <w:bCs/>
          <w:color w:val="1F3864"/>
          <w:sz w:val="22"/>
          <w:szCs w:val="22"/>
        </w:rPr>
        <w:t xml:space="preserve">OR</w:t>
      </w:r>
    </w:p>
    <w:p>
      <w:pPr>
        <w:spacing w:after="40" w:before="140"/>
      </w:pPr>
      <w:r>
        <w:rPr>
          <w:b/>
          <w:bCs/>
          <w:sz w:val="24"/>
          <w:szCs w:val="24"/>
        </w:rPr>
        <w:t xml:space="preserve">☐  </w:t>
      </w:r>
      <w:r>
        <w:rPr>
          <w:b/>
          <w:bCs/>
          <w:sz w:val="22"/>
          <w:szCs w:val="22"/>
        </w:rPr>
        <w:t xml:space="preserve">Condition 3 — Professional license certificate</w:t>
      </w:r>
    </w:p>
    <w:p>
      <w:pPr>
        <w:spacing w:after="60" w:line="276"/>
        <w:ind w:left="360"/>
      </w:pPr>
      <w:r>
        <w:rPr>
          <w:i w:val="false"/>
          <w:iCs w:val="false"/>
          <w:sz w:val="22"/>
          <w:szCs w:val="22"/>
        </w:rPr>
        <w:t xml:space="preserve">License: Series 7, 65, or 82.</w:t>
      </w:r>
    </w:p>
    <w:p>
      <w:pPr>
        <w:spacing w:after="120" w:before="220"/>
      </w:pPr>
      <w:r>
        <w:rPr>
          <w:sz w:val="22"/>
          <w:szCs w:val="22"/>
        </w:rPr>
        <w:t xml:space="preserve">I remain, of course, available for any questions or additional information you may require.</w:t>
      </w:r>
    </w:p>
    <w:p>
      <w:pPr>
        <w:spacing w:after="120" w:line="276"/>
      </w:pPr>
      <w:r>
        <w:rPr>
          <w:sz w:val="22"/>
          <w:szCs w:val="22"/>
        </w:rPr>
        <w:t xml:space="preserve">Kind regards,</w:t>
      </w:r>
    </w:p>
    <w:p>
      <w:pPr>
        <w:spacing w:after="20"/>
      </w:pPr>
      <w:r>
        <w:rPr>
          <w:b/>
          <w:bCs/>
          <w:sz w:val="22"/>
          <w:szCs w:val="22"/>
        </w:rPr>
        <w:t xml:space="preserve">Thibaut Guéant</w:t>
      </w:r>
    </w:p>
    <w:p>
      <w:pPr>
        <w:spacing w:after="20"/>
      </w:pPr>
      <w:r>
        <w:rPr>
          <w:sz w:val="20"/>
          <w:szCs w:val="20"/>
        </w:rPr>
        <w:t xml:space="preserve">Co-Founder | Chief Investment Officer</w:t>
      </w:r>
    </w:p>
    <w:p>
      <w:pPr>
        <w:spacing w:after="20"/>
      </w:pPr>
      <w:r>
        <w:rPr>
          <w:sz w:val="20"/>
          <w:szCs w:val="20"/>
        </w:rPr>
        <w:t xml:space="preserve">LandQuire Management LLC</w:t>
      </w:r>
    </w:p>
    <w:p>
      <w:pPr>
        <w:spacing w:after="20" w:before="80"/>
      </w:pPr>
      <w:r>
        <w:rPr>
          <w:sz w:val="20"/>
          <w:szCs w:val="20"/>
        </w:rPr>
        <w:t xml:space="preserve">+1-954-248-0306</w:t>
      </w:r>
    </w:p>
    <w:p>
      <w:pPr>
        <w:spacing w:after="20"/>
      </w:pPr>
      <w:hyperlink w:history="1" r:id="rIdtfyilsvcnkf3wtgyizczp">
        <w:r>
          <w:rPr>
            <w:rStyle w:val="Hyperlink"/>
            <w:sz w:val="20"/>
            <w:szCs w:val="20"/>
          </w:rPr>
          <w:t xml:space="preserve">tgueant@landquire.com</w:t>
        </w:r>
      </w:hyperlink>
    </w:p>
    <w:p>
      <w:pPr>
        <w:spacing w:after="20"/>
      </w:pPr>
      <w:hyperlink w:history="1" r:id="rIdxhb8hldd5-z4v4x8a_pcv">
        <w:r>
          <w:rPr>
            <w:rStyle w:val="Hyperlink"/>
            <w:sz w:val="20"/>
            <w:szCs w:val="20"/>
          </w:rPr>
          <w:t xml:space="preserve">www.landquiredeals.com</w:t>
        </w:r>
      </w:hyperlink>
    </w:p>
    <w:p>
      <w:pPr>
        <w:spacing w:after="20"/>
      </w:pPr>
      <w:r>
        <w:rPr>
          <w:sz w:val="20"/>
          <w:szCs w:val="20"/>
        </w:rPr>
        <w:t xml:space="preserve">15495 Eagle Nest Lane, Ste 210, Miami Lakes, FL 33014</w:t>
      </w:r>
    </w:p>
    <w:p>
      <w:pPr>
        <w:spacing w:after="20"/>
      </w:pPr>
      <w:hyperlink w:history="1" r:id="rIdzdjtpimhzph6m3pt4gs4y">
        <w:r>
          <w:rPr>
            <w:rStyle w:val="Hyperlink"/>
            <w:sz w:val="20"/>
            <w:szCs w:val="20"/>
          </w:rPr>
          <w:t xml:space="preserve">LinkedIn</w:t>
        </w:r>
      </w:hyperlink>
    </w:p>
    <w:p>
      <w:pPr>
        <w:pBdr>
          <w:top w:val="single" w:color="CCCCCC" w:sz="6" w:space="8"/>
        </w:pBdr>
        <w:spacing w:after="100" w:before="260"/>
      </w:pPr>
      <w:r>
        <w:rPr>
          <w:b/>
          <w:bCs/>
          <w:color w:val="6B6B6B"/>
          <w:sz w:val="16"/>
          <w:szCs w:val="16"/>
        </w:rPr>
        <w:t xml:space="preserve">IMPORTANT</w:t>
      </w:r>
    </w:p>
    <w:p>
      <w:pPr>
        <w:spacing w:after="80" w:line="240"/>
      </w:pPr>
      <w:r>
        <w:rPr>
          <w:b w:val="false"/>
          <w:bCs w:val="false"/>
          <w:i/>
          <w:iCs/>
          <w:color w:val="6B6B6B"/>
          <w:sz w:val="16"/>
          <w:szCs w:val="16"/>
        </w:rPr>
        <w:t xml:space="preserve">The contents of this document and any attachments are confidential and intended for the named recipient(s) only. If you have received it by mistake, please notify the sender immediately and do not disclose the contents to anyone or make copies thereof.</w:t>
      </w:r>
    </w:p>
    <w:p>
      <w:pPr>
        <w:spacing w:after="80" w:line="240"/>
      </w:pPr>
      <w:r>
        <w:rPr>
          <w:b w:val="false"/>
          <w:bCs w:val="false"/>
          <w:i/>
          <w:iCs/>
          <w:color w:val="6B6B6B"/>
          <w:sz w:val="16"/>
          <w:szCs w:val="16"/>
        </w:rPr>
        <w:t xml:space="preserve">This document is not an offer of securities or invitation to make an investment. Nothing contained herein should be relied upon as a guarantee, assurance, or representation. Any targeted returns, expected returns, or probability projections are not guaranteed and may not reflect actual future performance. Any securities offering is private and you may be required to verify your status as an 'Accredited Investor' to participate.</w:t>
      </w:r>
    </w:p>
    <w:p>
      <w:pPr>
        <w:spacing w:after="80" w:line="240"/>
      </w:pPr>
      <w:r>
        <w:rPr>
          <w:b w:val="false"/>
          <w:bCs w:val="false"/>
          <w:i/>
          <w:iCs/>
          <w:color w:val="6B6B6B"/>
          <w:sz w:val="16"/>
          <w:szCs w:val="16"/>
        </w:rPr>
        <w:t xml:space="preserve">No securities commission or regulatory authority has recommended or approved any investment or the accuracy or completeness of any of the information or materials provided by or through us. Please refer to the investment opportunity and memorandum for additional information and disclaimers.</w:t>
      </w:r>
    </w:p>
    <w:p>
      <w:pPr>
        <w:spacing w:after="80" w:line="240"/>
      </w:pPr>
      <w:r>
        <w:rPr>
          <w:b w:val="false"/>
          <w:bCs w:val="false"/>
          <w:i/>
          <w:iCs/>
          <w:color w:val="6B6B6B"/>
          <w:sz w:val="16"/>
          <w:szCs w:val="16"/>
        </w:rPr>
        <w:t xml:space="preserve">Performance Not Guaranteed. All securities involve a high degree of risk and may result in partial or total loss of your investment. This communication is not to be construed as investment, tax or legal advice in relation to the relevant subject matter; investors must seek their own legal or other professional advice.</w:t>
      </w:r>
    </w:p>
    <w:sectPr>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13" Type="http://schemas.openxmlformats.org/officeDocument/2006/relationships/customXml" Target="../customXml/item3.xml"/><Relationship Id="rId3" Type="http://schemas.openxmlformats.org/officeDocument/2006/relationships/footnotes" Target="footnotes.xml"/><Relationship Id="rIdxhb8hldd5-z4v4x8a_pcv" Type="http://schemas.openxmlformats.org/officeDocument/2006/relationships/hyperlink" Target="https://www.landquiredeals.com"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1.xml"/><Relationship Id="rId5" Type="http://schemas.openxmlformats.org/officeDocument/2006/relationships/settings" Target="settings.xml"/><Relationship Id="rIdtfyilsvcnkf3wtgyizczp" Type="http://schemas.openxmlformats.org/officeDocument/2006/relationships/hyperlink" Target="mailto:tgueant@landquire.com" TargetMode="External"/><Relationship Id="rId10" Type="http://schemas.openxmlformats.org/officeDocument/2006/relationships/fontTable" Target="fontTable.xml"/><Relationship Id="rId4" Type="http://schemas.openxmlformats.org/officeDocument/2006/relationships/endnotes" Target="endnotes.xml"/><Relationship Id="rIdzdjtpimhzph6m3pt4gs4y" Type="http://schemas.openxmlformats.org/officeDocument/2006/relationships/hyperlink" Target="https://www.linkedin.com/in/thibautgueant/"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134FFEFBBEF4B89A8F12B924BF2BE" ma:contentTypeVersion="20" ma:contentTypeDescription="Create a new document." ma:contentTypeScope="" ma:versionID="cde149f15da123614a60d509d21f4211">
  <xsd:schema xmlns:xsd="http://www.w3.org/2001/XMLSchema" xmlns:xs="http://www.w3.org/2001/XMLSchema" xmlns:p="http://schemas.microsoft.com/office/2006/metadata/properties" xmlns:ns1="http://schemas.microsoft.com/sharepoint/v3" xmlns:ns2="65773775-3ecb-490c-869c-c8c8a496cb78" xmlns:ns3="798cf4ac-21a9-48cf-afd8-16d33d2b28c5" targetNamespace="http://schemas.microsoft.com/office/2006/metadata/properties" ma:root="true" ma:fieldsID="f14c7b95af041d3104cb4025b6c24b0b" ns1:_="" ns2:_="" ns3:_="">
    <xsd:import namespace="http://schemas.microsoft.com/sharepoint/v3"/>
    <xsd:import namespace="65773775-3ecb-490c-869c-c8c8a496cb78"/>
    <xsd:import namespace="798cf4ac-21a9-48cf-afd8-16d33d2b28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73775-3ecb-490c-869c-c8c8a496c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efa769-7626-42fb-a85b-1de3f09a043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cf4ac-21a9-48cf-afd8-16d33d2b28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1f2c60-9b82-4306-a79b-5c326c4bade2}" ma:internalName="TaxCatchAll" ma:showField="CatchAllData" ma:web="798cf4ac-21a9-48cf-afd8-16d33d2b2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73775-3ecb-490c-869c-c8c8a496cb78">
      <Terms xmlns="http://schemas.microsoft.com/office/infopath/2007/PartnerControls"/>
    </lcf76f155ced4ddcb4097134ff3c332f>
    <_ip_UnifiedCompliancePolicyUIAction xmlns="http://schemas.microsoft.com/sharepoint/v3" xsi:nil="true"/>
    <TaxCatchAll xmlns="798cf4ac-21a9-48cf-afd8-16d33d2b28c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E88AE3-DE63-4D64-BD7C-D8ED24127B42}"/>
</file>

<file path=customXml/itemProps2.xml><?xml version="1.0" encoding="utf-8"?>
<ds:datastoreItem xmlns:ds="http://schemas.openxmlformats.org/officeDocument/2006/customXml" ds:itemID="{60C70DC3-B4ED-458B-9110-5DEBFCA26D10}"/>
</file>

<file path=customXml/itemProps3.xml><?xml version="1.0" encoding="utf-8"?>
<ds:datastoreItem xmlns:ds="http://schemas.openxmlformats.org/officeDocument/2006/customXml" ds:itemID="{63BC361D-7500-43B1-AD56-1E3BE39EDBB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2026-07-15T20:28:00Z</dcterms:created>
  <dcterms:modified xsi:type="dcterms:W3CDTF">2026-07-15T20:28:00Z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0x0101009D4134FFEFBBEF4B89A8F12B924BF2BE</vt:lpwstr>
  </property>
</Properties>
</file>